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4A2D" w:rsidRPr="0015557E" w:rsidRDefault="001271D5" w:rsidP="000E0D32">
      <w:pPr>
        <w:spacing w:line="480" w:lineRule="auto"/>
        <w:jc w:val="center"/>
        <w:rPr>
          <w:rFonts w:ascii="Times New Roman" w:hAnsi="Times New Roman" w:cs="Times New Roman"/>
          <w:sz w:val="24"/>
          <w:szCs w:val="24"/>
        </w:rPr>
      </w:pPr>
      <w:r w:rsidRPr="0015557E">
        <w:rPr>
          <w:rFonts w:ascii="Times New Roman" w:hAnsi="Times New Roman" w:cs="Times New Roman"/>
          <w:sz w:val="24"/>
          <w:szCs w:val="24"/>
        </w:rPr>
        <w:t>Siemans Case Study</w:t>
      </w: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r w:rsidRPr="0015557E">
        <w:rPr>
          <w:rFonts w:ascii="Times New Roman" w:hAnsi="Times New Roman" w:cs="Times New Roman"/>
          <w:sz w:val="24"/>
          <w:szCs w:val="24"/>
        </w:rPr>
        <w:t>Name</w:t>
      </w:r>
    </w:p>
    <w:p w:rsidR="001271D5" w:rsidRPr="0015557E" w:rsidRDefault="001271D5" w:rsidP="000E0D32">
      <w:pPr>
        <w:spacing w:line="480" w:lineRule="auto"/>
        <w:jc w:val="center"/>
        <w:rPr>
          <w:rFonts w:ascii="Times New Roman" w:hAnsi="Times New Roman" w:cs="Times New Roman"/>
          <w:sz w:val="24"/>
          <w:szCs w:val="24"/>
        </w:rPr>
      </w:pPr>
      <w:r w:rsidRPr="0015557E">
        <w:rPr>
          <w:rFonts w:ascii="Times New Roman" w:hAnsi="Times New Roman" w:cs="Times New Roman"/>
          <w:sz w:val="24"/>
          <w:szCs w:val="24"/>
        </w:rPr>
        <w:t>Institution</w:t>
      </w:r>
    </w:p>
    <w:p w:rsidR="001271D5" w:rsidRPr="0015557E" w:rsidRDefault="001271D5" w:rsidP="000E0D32">
      <w:pPr>
        <w:spacing w:line="480" w:lineRule="auto"/>
        <w:jc w:val="center"/>
        <w:rPr>
          <w:rFonts w:ascii="Times New Roman" w:hAnsi="Times New Roman" w:cs="Times New Roman"/>
          <w:sz w:val="24"/>
          <w:szCs w:val="24"/>
        </w:rPr>
      </w:pPr>
      <w:r w:rsidRPr="0015557E">
        <w:rPr>
          <w:rFonts w:ascii="Times New Roman" w:hAnsi="Times New Roman" w:cs="Times New Roman"/>
          <w:sz w:val="24"/>
          <w:szCs w:val="24"/>
        </w:rPr>
        <w:t>Date</w:t>
      </w: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p>
    <w:p w:rsidR="001271D5" w:rsidRPr="0015557E" w:rsidRDefault="001271D5" w:rsidP="000E0D32">
      <w:pPr>
        <w:spacing w:line="480" w:lineRule="auto"/>
        <w:jc w:val="center"/>
        <w:rPr>
          <w:rFonts w:ascii="Times New Roman" w:hAnsi="Times New Roman" w:cs="Times New Roman"/>
          <w:sz w:val="24"/>
          <w:szCs w:val="24"/>
        </w:rPr>
      </w:pPr>
      <w:r w:rsidRPr="0015557E">
        <w:rPr>
          <w:rFonts w:ascii="Times New Roman" w:hAnsi="Times New Roman" w:cs="Times New Roman"/>
          <w:sz w:val="24"/>
          <w:szCs w:val="24"/>
        </w:rPr>
        <w:lastRenderedPageBreak/>
        <w:t xml:space="preserve">Siemans Case Study </w:t>
      </w:r>
    </w:p>
    <w:p w:rsidR="00C14A2D" w:rsidRPr="0015557E" w:rsidRDefault="00C14A2D" w:rsidP="000E0D32">
      <w:pPr>
        <w:spacing w:line="480" w:lineRule="auto"/>
        <w:jc w:val="center"/>
        <w:rPr>
          <w:rFonts w:ascii="Times New Roman" w:hAnsi="Times New Roman" w:cs="Times New Roman"/>
          <w:b/>
          <w:sz w:val="24"/>
          <w:szCs w:val="24"/>
        </w:rPr>
      </w:pPr>
      <w:r w:rsidRPr="0015557E">
        <w:rPr>
          <w:rFonts w:ascii="Times New Roman" w:hAnsi="Times New Roman" w:cs="Times New Roman"/>
          <w:b/>
          <w:sz w:val="24"/>
          <w:szCs w:val="24"/>
        </w:rPr>
        <w:t>Question 1: Calculation of financial metrics 1998 to 2007</w:t>
      </w:r>
    </w:p>
    <w:tbl>
      <w:tblPr>
        <w:tblW w:w="8940" w:type="dxa"/>
        <w:tblInd w:w="93" w:type="dxa"/>
        <w:tblLook w:val="04A0" w:firstRow="1" w:lastRow="0" w:firstColumn="1" w:lastColumn="0" w:noHBand="0" w:noVBand="1"/>
      </w:tblPr>
      <w:tblGrid>
        <w:gridCol w:w="4360"/>
        <w:gridCol w:w="996"/>
        <w:gridCol w:w="996"/>
        <w:gridCol w:w="1360"/>
        <w:gridCol w:w="1349"/>
      </w:tblGrid>
      <w:tr w:rsidR="0015557E" w:rsidRPr="0015557E" w:rsidTr="00C14A2D">
        <w:trPr>
          <w:trHeight w:val="315"/>
        </w:trPr>
        <w:tc>
          <w:tcPr>
            <w:tcW w:w="4360" w:type="dxa"/>
            <w:tcBorders>
              <w:top w:val="nil"/>
              <w:left w:val="nil"/>
              <w:bottom w:val="nil"/>
              <w:right w:val="nil"/>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b/>
                <w:bCs/>
                <w:sz w:val="24"/>
                <w:szCs w:val="24"/>
              </w:rPr>
            </w:pPr>
            <w:r w:rsidRPr="0015557E">
              <w:rPr>
                <w:rFonts w:ascii="Times New Roman" w:eastAsia="Times New Roman" w:hAnsi="Times New Roman" w:cs="Times New Roman"/>
                <w:b/>
                <w:bCs/>
                <w:sz w:val="24"/>
                <w:szCs w:val="24"/>
              </w:rPr>
              <w:t>Selected Statements 2004 to 2007</w:t>
            </w:r>
          </w:p>
        </w:tc>
        <w:tc>
          <w:tcPr>
            <w:tcW w:w="960" w:type="dxa"/>
            <w:tcBorders>
              <w:top w:val="nil"/>
              <w:left w:val="nil"/>
              <w:bottom w:val="nil"/>
              <w:right w:val="nil"/>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p>
        </w:tc>
        <w:tc>
          <w:tcPr>
            <w:tcW w:w="1360" w:type="dxa"/>
            <w:tcBorders>
              <w:top w:val="nil"/>
              <w:left w:val="nil"/>
              <w:bottom w:val="nil"/>
              <w:right w:val="nil"/>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p>
        </w:tc>
        <w:tc>
          <w:tcPr>
            <w:tcW w:w="1300" w:type="dxa"/>
            <w:tcBorders>
              <w:top w:val="nil"/>
              <w:left w:val="nil"/>
              <w:bottom w:val="nil"/>
              <w:right w:val="nil"/>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p>
        </w:tc>
      </w:tr>
      <w:tr w:rsidR="0015557E" w:rsidRPr="0015557E" w:rsidTr="00C14A2D">
        <w:trPr>
          <w:trHeight w:val="300"/>
        </w:trPr>
        <w:tc>
          <w:tcPr>
            <w:tcW w:w="43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b/>
                <w:bCs/>
                <w:sz w:val="24"/>
                <w:szCs w:val="24"/>
              </w:rPr>
            </w:pPr>
            <w:r w:rsidRPr="0015557E">
              <w:rPr>
                <w:rFonts w:ascii="Times New Roman" w:eastAsia="Times New Roman" w:hAnsi="Times New Roman" w:cs="Times New Roman"/>
                <w:b/>
                <w:bCs/>
                <w:sz w:val="24"/>
                <w:szCs w:val="24"/>
              </w:rPr>
              <w:t>Metric</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b/>
                <w:bCs/>
                <w:sz w:val="24"/>
                <w:szCs w:val="24"/>
              </w:rPr>
            </w:pPr>
            <w:r w:rsidRPr="0015557E">
              <w:rPr>
                <w:rFonts w:ascii="Times New Roman" w:eastAsia="Times New Roman" w:hAnsi="Times New Roman" w:cs="Times New Roman"/>
                <w:b/>
                <w:bCs/>
                <w:sz w:val="24"/>
                <w:szCs w:val="24"/>
              </w:rPr>
              <w:t>2007</w:t>
            </w:r>
          </w:p>
        </w:tc>
        <w:tc>
          <w:tcPr>
            <w:tcW w:w="960" w:type="dxa"/>
            <w:tcBorders>
              <w:top w:val="single" w:sz="8" w:space="0" w:color="auto"/>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b/>
                <w:bCs/>
                <w:sz w:val="24"/>
                <w:szCs w:val="24"/>
              </w:rPr>
            </w:pPr>
            <w:r w:rsidRPr="0015557E">
              <w:rPr>
                <w:rFonts w:ascii="Times New Roman" w:eastAsia="Times New Roman" w:hAnsi="Times New Roman" w:cs="Times New Roman"/>
                <w:b/>
                <w:bCs/>
                <w:sz w:val="24"/>
                <w:szCs w:val="24"/>
              </w:rPr>
              <w:t>2004</w:t>
            </w:r>
          </w:p>
        </w:tc>
        <w:tc>
          <w:tcPr>
            <w:tcW w:w="1360" w:type="dxa"/>
            <w:tcBorders>
              <w:top w:val="single" w:sz="8" w:space="0" w:color="auto"/>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b/>
                <w:bCs/>
                <w:sz w:val="24"/>
                <w:szCs w:val="24"/>
              </w:rPr>
            </w:pPr>
            <w:r w:rsidRPr="0015557E">
              <w:rPr>
                <w:rFonts w:ascii="Times New Roman" w:eastAsia="Times New Roman" w:hAnsi="Times New Roman" w:cs="Times New Roman"/>
                <w:b/>
                <w:bCs/>
                <w:sz w:val="24"/>
                <w:szCs w:val="24"/>
              </w:rPr>
              <w:t>Change +/-</w:t>
            </w:r>
          </w:p>
        </w:tc>
        <w:tc>
          <w:tcPr>
            <w:tcW w:w="1300" w:type="dxa"/>
            <w:tcBorders>
              <w:top w:val="single" w:sz="8" w:space="0" w:color="auto"/>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b/>
                <w:bCs/>
                <w:sz w:val="24"/>
                <w:szCs w:val="24"/>
              </w:rPr>
            </w:pPr>
            <w:r w:rsidRPr="0015557E">
              <w:rPr>
                <w:rFonts w:ascii="Times New Roman" w:eastAsia="Times New Roman" w:hAnsi="Times New Roman" w:cs="Times New Roman"/>
                <w:b/>
                <w:bCs/>
                <w:sz w:val="24"/>
                <w:szCs w:val="24"/>
              </w:rPr>
              <w:t>Percentage</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Sales</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72,448</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75,167</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-2719</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-3.62%</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Total Operating Expenses</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67,827</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72,152</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-4325</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-5.99%</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General, Selling and Administrative Expenses</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15,502</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18,630</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-3128</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-16.79%</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Cost of Goods Sold</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48,563</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50,701</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-2138</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-4.22%</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EBIT</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5,998</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4,683</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1315</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28.08%</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EBITDA</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8,901</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7,504</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1397</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18.62%</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Net Income</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3,710</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3,405</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305</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8.96%</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Total Debt</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15,497</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11,219</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4278</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38.13%</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Total Current Assets</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47,932</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45,946</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1986</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4.32%</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Total Assets</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88,961</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74,707</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14254</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19.08%</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Total Current Liabilities</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43,894</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33,372</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10522</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31.53%</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Total Liabilities</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59,334</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47,323</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12011</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25.38%</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Total Common Equity</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28,996</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26,855</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2141</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7.97%</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Year End Market Capitalization</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87,992</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52,573</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35419</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67.37%</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ROA</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4.17%</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4.56%</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-0.0039</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-8.55%</w:t>
            </w:r>
          </w:p>
        </w:tc>
      </w:tr>
      <w:tr w:rsidR="0015557E" w:rsidRPr="0015557E" w:rsidTr="00C14A2D">
        <w:trPr>
          <w:trHeight w:val="300"/>
        </w:trPr>
        <w:tc>
          <w:tcPr>
            <w:tcW w:w="4360" w:type="dxa"/>
            <w:tcBorders>
              <w:top w:val="nil"/>
              <w:left w:val="single" w:sz="8" w:space="0" w:color="auto"/>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ROE</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12.79%</w:t>
            </w:r>
          </w:p>
        </w:tc>
        <w:tc>
          <w:tcPr>
            <w:tcW w:w="9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12.68%</w:t>
            </w:r>
          </w:p>
        </w:tc>
        <w:tc>
          <w:tcPr>
            <w:tcW w:w="1360" w:type="dxa"/>
            <w:tcBorders>
              <w:top w:val="nil"/>
              <w:left w:val="nil"/>
              <w:bottom w:val="single" w:sz="4"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0.0011</w:t>
            </w:r>
          </w:p>
        </w:tc>
        <w:tc>
          <w:tcPr>
            <w:tcW w:w="1300" w:type="dxa"/>
            <w:tcBorders>
              <w:top w:val="nil"/>
              <w:left w:val="nil"/>
              <w:bottom w:val="single" w:sz="4"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0.87%</w:t>
            </w:r>
          </w:p>
        </w:tc>
      </w:tr>
      <w:tr w:rsidR="0015557E" w:rsidRPr="0015557E" w:rsidTr="00C14A2D">
        <w:trPr>
          <w:trHeight w:val="315"/>
        </w:trPr>
        <w:tc>
          <w:tcPr>
            <w:tcW w:w="4360" w:type="dxa"/>
            <w:tcBorders>
              <w:top w:val="nil"/>
              <w:left w:val="single" w:sz="8" w:space="0" w:color="auto"/>
              <w:bottom w:val="single" w:sz="8" w:space="0" w:color="auto"/>
              <w:right w:val="single" w:sz="4" w:space="0" w:color="auto"/>
            </w:tcBorders>
            <w:shd w:val="clear" w:color="auto" w:fill="auto"/>
            <w:noWrap/>
            <w:vAlign w:val="bottom"/>
            <w:hideMark/>
          </w:tcPr>
          <w:p w:rsidR="00C14A2D" w:rsidRPr="0015557E" w:rsidRDefault="00C14A2D" w:rsidP="000E0D32">
            <w:p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Employees</w:t>
            </w:r>
          </w:p>
        </w:tc>
        <w:tc>
          <w:tcPr>
            <w:tcW w:w="960" w:type="dxa"/>
            <w:tcBorders>
              <w:top w:val="nil"/>
              <w:left w:val="nil"/>
              <w:bottom w:val="single" w:sz="8"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386,200</w:t>
            </w:r>
          </w:p>
        </w:tc>
        <w:tc>
          <w:tcPr>
            <w:tcW w:w="960" w:type="dxa"/>
            <w:tcBorders>
              <w:top w:val="nil"/>
              <w:left w:val="nil"/>
              <w:bottom w:val="single" w:sz="8"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430,000</w:t>
            </w:r>
          </w:p>
        </w:tc>
        <w:tc>
          <w:tcPr>
            <w:tcW w:w="1360" w:type="dxa"/>
            <w:tcBorders>
              <w:top w:val="nil"/>
              <w:left w:val="nil"/>
              <w:bottom w:val="single" w:sz="8" w:space="0" w:color="auto"/>
              <w:right w:val="single" w:sz="4"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-43800</w:t>
            </w:r>
          </w:p>
        </w:tc>
        <w:tc>
          <w:tcPr>
            <w:tcW w:w="1300" w:type="dxa"/>
            <w:tcBorders>
              <w:top w:val="nil"/>
              <w:left w:val="nil"/>
              <w:bottom w:val="single" w:sz="8" w:space="0" w:color="auto"/>
              <w:right w:val="single" w:sz="8" w:space="0" w:color="auto"/>
            </w:tcBorders>
            <w:shd w:val="clear" w:color="auto" w:fill="auto"/>
            <w:noWrap/>
            <w:vAlign w:val="bottom"/>
            <w:hideMark/>
          </w:tcPr>
          <w:p w:rsidR="00C14A2D" w:rsidRPr="0015557E" w:rsidRDefault="00C14A2D" w:rsidP="000E0D32">
            <w:pPr>
              <w:spacing w:after="0" w:line="480" w:lineRule="auto"/>
              <w:jc w:val="right"/>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-10.19%</w:t>
            </w:r>
          </w:p>
        </w:tc>
      </w:tr>
    </w:tbl>
    <w:p w:rsidR="00C14A2D" w:rsidRPr="0015557E" w:rsidRDefault="00C14A2D" w:rsidP="000E0D32">
      <w:pPr>
        <w:spacing w:line="480" w:lineRule="auto"/>
        <w:ind w:firstLine="720"/>
        <w:rPr>
          <w:rFonts w:ascii="Times New Roman" w:hAnsi="Times New Roman" w:cs="Times New Roman"/>
          <w:sz w:val="24"/>
          <w:szCs w:val="24"/>
        </w:rPr>
      </w:pPr>
      <w:r w:rsidRPr="0015557E">
        <w:rPr>
          <w:rFonts w:ascii="Times New Roman" w:hAnsi="Times New Roman" w:cs="Times New Roman"/>
          <w:sz w:val="24"/>
          <w:szCs w:val="24"/>
        </w:rPr>
        <w:lastRenderedPageBreak/>
        <w:t>Base year is 2004</w:t>
      </w:r>
    </w:p>
    <w:p w:rsidR="00C14A2D" w:rsidRPr="0015557E" w:rsidRDefault="00C14A2D" w:rsidP="000E0D32">
      <w:pPr>
        <w:spacing w:line="480" w:lineRule="auto"/>
        <w:ind w:firstLine="720"/>
        <w:rPr>
          <w:rFonts w:ascii="Times New Roman" w:hAnsi="Times New Roman" w:cs="Times New Roman"/>
          <w:sz w:val="24"/>
          <w:szCs w:val="24"/>
        </w:rPr>
      </w:pPr>
      <w:r w:rsidRPr="0015557E">
        <w:rPr>
          <w:rFonts w:ascii="Times New Roman" w:hAnsi="Times New Roman" w:cs="Times New Roman"/>
          <w:sz w:val="24"/>
          <w:szCs w:val="24"/>
        </w:rPr>
        <w:t>The variances obtained by</w:t>
      </w:r>
      <w:r w:rsidR="001271D5" w:rsidRPr="0015557E">
        <w:rPr>
          <w:rFonts w:ascii="Times New Roman" w:hAnsi="Times New Roman" w:cs="Times New Roman"/>
          <w:sz w:val="24"/>
          <w:szCs w:val="24"/>
        </w:rPr>
        <w:t xml:space="preserve">: </w:t>
      </w:r>
    </w:p>
    <w:p w:rsidR="00C14A2D" w:rsidRPr="0015557E" w:rsidRDefault="00C14A2D" w:rsidP="000E0D32">
      <w:pPr>
        <w:spacing w:line="480" w:lineRule="auto"/>
        <w:ind w:firstLine="720"/>
        <w:rPr>
          <w:rFonts w:ascii="Times New Roman" w:hAnsi="Times New Roman" w:cs="Times New Roman"/>
          <w:sz w:val="24"/>
          <w:szCs w:val="24"/>
        </w:rPr>
      </w:pPr>
      <w:r w:rsidRPr="0015557E">
        <w:rPr>
          <w:rFonts w:ascii="Times New Roman" w:hAnsi="Times New Roman" w:cs="Times New Roman"/>
          <w:sz w:val="24"/>
          <w:szCs w:val="24"/>
        </w:rPr>
        <w:t>2007 Metrics – 2004 Metrics</w:t>
      </w:r>
    </w:p>
    <w:p w:rsidR="00C14A2D" w:rsidRPr="0015557E" w:rsidRDefault="00C14A2D" w:rsidP="000E0D32">
      <w:pPr>
        <w:spacing w:line="480" w:lineRule="auto"/>
        <w:ind w:firstLine="720"/>
        <w:rPr>
          <w:rFonts w:ascii="Times New Roman" w:hAnsi="Times New Roman" w:cs="Times New Roman"/>
          <w:sz w:val="24"/>
          <w:szCs w:val="24"/>
        </w:rPr>
      </w:pPr>
      <w:r w:rsidRPr="0015557E">
        <w:rPr>
          <w:rFonts w:ascii="Times New Roman" w:hAnsi="Times New Roman" w:cs="Times New Roman"/>
          <w:sz w:val="24"/>
          <w:szCs w:val="24"/>
        </w:rPr>
        <w:t>Percentage = Variance x 100</w:t>
      </w:r>
    </w:p>
    <w:p w:rsidR="00C14A2D" w:rsidRPr="0015557E" w:rsidRDefault="00C14A2D" w:rsidP="000E0D32">
      <w:pPr>
        <w:spacing w:line="480" w:lineRule="auto"/>
        <w:ind w:firstLine="720"/>
        <w:rPr>
          <w:rFonts w:ascii="Times New Roman" w:hAnsi="Times New Roman" w:cs="Times New Roman"/>
          <w:b/>
          <w:sz w:val="24"/>
          <w:szCs w:val="24"/>
        </w:rPr>
      </w:pPr>
      <w:r w:rsidRPr="0015557E">
        <w:rPr>
          <w:rFonts w:ascii="Times New Roman" w:hAnsi="Times New Roman" w:cs="Times New Roman"/>
          <w:b/>
          <w:sz w:val="24"/>
          <w:szCs w:val="24"/>
        </w:rPr>
        <w:t>Question 2: Company matrix organizational structure</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Matrix organizational structure is an organization structure where reporting relationships are carried out in a grid set up or matrix instead of the traditional hierarchy. In this kind of structure, employees have dual reporting relationships to functional and general managers. Like any other organizational structure, it attracts both advantages and disadvantages. </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15557E">
        <w:rPr>
          <w:rFonts w:ascii="Times New Roman" w:eastAsia="Times New Roman" w:hAnsi="Times New Roman" w:cs="Times New Roman"/>
          <w:i/>
          <w:iCs/>
          <w:sz w:val="24"/>
          <w:szCs w:val="24"/>
        </w:rPr>
        <w:t>Advantages</w:t>
      </w:r>
    </w:p>
    <w:p w:rsidR="000E0D32" w:rsidRPr="000E0D32" w:rsidRDefault="000E0D32" w:rsidP="000E0D32">
      <w:pPr>
        <w:numPr>
          <w:ilvl w:val="0"/>
          <w:numId w:val="4"/>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Efficient use of resources</w:t>
      </w:r>
    </w:p>
    <w:p w:rsidR="000E0D32" w:rsidRPr="000E0D32" w:rsidRDefault="000E0D32" w:rsidP="000E0D32">
      <w:pPr>
        <w:numPr>
          <w:ilvl w:val="0"/>
          <w:numId w:val="4"/>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Good products and projects coordination</w:t>
      </w:r>
    </w:p>
    <w:p w:rsidR="000E0D32" w:rsidRPr="000E0D32" w:rsidRDefault="000E0D32" w:rsidP="000E0D32">
      <w:pPr>
        <w:numPr>
          <w:ilvl w:val="0"/>
          <w:numId w:val="4"/>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Information flow is both across and up through the organization</w:t>
      </w:r>
    </w:p>
    <w:p w:rsidR="000E0D32" w:rsidRPr="000E0D32" w:rsidRDefault="000E0D32" w:rsidP="000E0D32">
      <w:pPr>
        <w:numPr>
          <w:ilvl w:val="0"/>
          <w:numId w:val="4"/>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Employees get contact with many people</w:t>
      </w:r>
    </w:p>
    <w:p w:rsidR="000E0D32" w:rsidRPr="000E0D32" w:rsidRDefault="000E0D32" w:rsidP="000E0D32">
      <w:pPr>
        <w:numPr>
          <w:ilvl w:val="0"/>
          <w:numId w:val="4"/>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Staffers get to work autonomously</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15557E">
        <w:rPr>
          <w:rFonts w:ascii="Times New Roman" w:eastAsia="Times New Roman" w:hAnsi="Times New Roman" w:cs="Times New Roman"/>
          <w:i/>
          <w:iCs/>
          <w:sz w:val="24"/>
          <w:szCs w:val="24"/>
        </w:rPr>
        <w:t>Disadvantages</w:t>
      </w:r>
    </w:p>
    <w:p w:rsidR="000E0D32" w:rsidRPr="000E0D32" w:rsidRDefault="000E0D32" w:rsidP="000E0D32">
      <w:pPr>
        <w:numPr>
          <w:ilvl w:val="0"/>
          <w:numId w:val="5"/>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Managerial lines may lack a clear definition</w:t>
      </w:r>
    </w:p>
    <w:p w:rsidR="000E0D32" w:rsidRPr="000E0D32" w:rsidRDefault="000E0D32" w:rsidP="000E0D32">
      <w:pPr>
        <w:numPr>
          <w:ilvl w:val="0"/>
          <w:numId w:val="5"/>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Team roles may lack a clear definition</w:t>
      </w:r>
    </w:p>
    <w:p w:rsidR="000E0D32" w:rsidRPr="000E0D32" w:rsidRDefault="000E0D32" w:rsidP="000E0D32">
      <w:pPr>
        <w:numPr>
          <w:ilvl w:val="0"/>
          <w:numId w:val="5"/>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Decision-making process might be slow in some cases</w:t>
      </w:r>
    </w:p>
    <w:p w:rsidR="000E0D32" w:rsidRPr="000E0D32" w:rsidRDefault="000E0D32" w:rsidP="000E0D32">
      <w:pPr>
        <w:numPr>
          <w:ilvl w:val="0"/>
          <w:numId w:val="5"/>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Work overload can arise in some areas</w:t>
      </w:r>
    </w:p>
    <w:p w:rsidR="000E0D32" w:rsidRPr="000E0D32" w:rsidRDefault="000E0D32" w:rsidP="000E0D32">
      <w:pPr>
        <w:numPr>
          <w:ilvl w:val="0"/>
          <w:numId w:val="5"/>
        </w:num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Difficult in measuring individual employee performance</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lastRenderedPageBreak/>
        <w:t>In discussing the advantages of matrix organizational structure, it is vital to acknowledge the key point of staff reporting to functional managers who can steer skills improvement. Efficient resource allocation as one of the advantages of matrix organizational structure is grounded on the fact that experts and equipment can be shared across projects. Products and projects Siemans require coordination. It is important to realize that the coordination role will be shared among experts across the departments through the matrix system. This is key to promoting effective coordination. Information flowing in one line like the one realized in the traditional hierarchy system mostly affects quality sharing. Matrix organizational structure allows information to flow up, down, and cross, thus promoting high communication levels. Organizational activities call for good contact among employees and other people. Matrix organizational structure promotes high levels of interaction, largely promoting the sharing of information and ideas for the positivity of the organization. </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The disadvantages of matrix organizational structure are based on the high consultative nature of the structure. Some of the managerial roles call for one line of communication to promote confidentiality and decision-making speed. The consultative nature of the matrix structure large reduces such kinds of operations since it involves every member of the organization. Decision making in any organizational structure is gauged based on speed and accuracy. Matric organizational structure promotes quality while, in some cases, affects the speed of decision making.</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 xml:space="preserve">The situation at Siemans is favorable in terms of key metrics but attracts negativity in some areas. Based on this, the matric organization structure is preferred to allow extensive consultation to ascertain the reasons behind some of the negative metrics. Starting with the negative growth realized in the annual sales, it will be positive to involve the matrix structure to </w:t>
      </w:r>
      <w:r w:rsidRPr="000E0D32">
        <w:rPr>
          <w:rFonts w:ascii="Times New Roman" w:eastAsia="Times New Roman" w:hAnsi="Times New Roman" w:cs="Times New Roman"/>
          <w:sz w:val="24"/>
          <w:szCs w:val="24"/>
        </w:rPr>
        <w:lastRenderedPageBreak/>
        <w:t>ascertain the main reason behind the negative. The negative growth realized in the sales line could be a result of pricing, marketing, quality, and access to the products. Based on this, the matrix organizational structure will promote consultation and information sharing across finance, marketing, and other departments linked to sales directly or indirectly. The liabilities at Siemens have also increased; this is another area that calls for consultation and sound decision making to manage the levels of liabilities. Managing the liability levels is a significant move towards ensuring the company's liquidity levels are maintained at reasonable levels. </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The expenses at Siemans attract realized negative growth, which is positive for the company because it indicates effective management. Based on the excellent expense management, it will be important to consult widely on the possibility of sales improvement to capitalize on the downward expenses trend to help attain high-profit levels. </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15557E">
        <w:rPr>
          <w:rFonts w:ascii="Times New Roman" w:eastAsia="Times New Roman" w:hAnsi="Times New Roman" w:cs="Times New Roman"/>
          <w:b/>
          <w:bCs/>
          <w:sz w:val="24"/>
          <w:szCs w:val="24"/>
        </w:rPr>
        <w:t>Question 3: Recommendations for improvement of design or implementation of the company's management innovation efforts</w:t>
      </w:r>
    </w:p>
    <w:p w:rsidR="000E0D32" w:rsidRPr="000E0D32" w:rsidRDefault="000E0D32" w:rsidP="000E0D32">
      <w:pPr>
        <w:spacing w:after="0" w:line="480" w:lineRule="auto"/>
        <w:ind w:firstLine="720"/>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The trends obtained from the metrics in part 1 presents mixed trends of positive and negative lines. Based on the mixed trends, it will be necessary for the management to consider;</w:t>
      </w:r>
    </w:p>
    <w:p w:rsidR="000E0D32" w:rsidRPr="0015557E" w:rsidRDefault="000E0D32" w:rsidP="000E0D32">
      <w:pPr>
        <w:pStyle w:val="ListParagraph"/>
        <w:numPr>
          <w:ilvl w:val="0"/>
          <w:numId w:val="6"/>
        </w:numPr>
        <w:spacing w:after="0" w:line="480" w:lineRule="auto"/>
        <w:rPr>
          <w:rFonts w:ascii="Times New Roman" w:eastAsia="Times New Roman" w:hAnsi="Times New Roman" w:cs="Times New Roman"/>
          <w:sz w:val="24"/>
          <w:szCs w:val="24"/>
        </w:rPr>
      </w:pPr>
      <w:r w:rsidRPr="0015557E">
        <w:rPr>
          <w:rFonts w:ascii="Times New Roman" w:eastAsia="Times New Roman" w:hAnsi="Times New Roman" w:cs="Times New Roman"/>
          <w:sz w:val="24"/>
          <w:szCs w:val="24"/>
        </w:rPr>
        <w:t xml:space="preserve">Customer-based innovation </w:t>
      </w:r>
      <w:r w:rsidR="0015557E">
        <w:rPr>
          <w:rFonts w:ascii="Times New Roman" w:eastAsia="Times New Roman" w:hAnsi="Times New Roman" w:cs="Times New Roman"/>
          <w:sz w:val="24"/>
          <w:szCs w:val="24"/>
        </w:rPr>
        <w:t xml:space="preserve">which </w:t>
      </w:r>
      <w:r w:rsidRPr="0015557E">
        <w:rPr>
          <w:rFonts w:ascii="Times New Roman" w:eastAsia="Times New Roman" w:hAnsi="Times New Roman" w:cs="Times New Roman"/>
          <w:sz w:val="24"/>
          <w:szCs w:val="24"/>
        </w:rPr>
        <w:t>will promote important information collected from customers to be applied to push for higher sales.</w:t>
      </w:r>
    </w:p>
    <w:p w:rsidR="000E0D32" w:rsidRPr="0015557E" w:rsidRDefault="0015557E" w:rsidP="000E0D32">
      <w:pPr>
        <w:pStyle w:val="ListParagraph"/>
        <w:numPr>
          <w:ilvl w:val="0"/>
          <w:numId w:val="6"/>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Reduce current liabilities in favor of </w:t>
      </w:r>
      <w:r w:rsidR="000E0D32" w:rsidRPr="000E0D32">
        <w:rPr>
          <w:rFonts w:ascii="Times New Roman" w:eastAsia="Times New Roman" w:hAnsi="Times New Roman" w:cs="Times New Roman"/>
          <w:sz w:val="24"/>
          <w:szCs w:val="24"/>
        </w:rPr>
        <w:t>the increase realized in current liabilities is a big risk to the company's liquidity levels. As a result, the company realizes improved liquidity and raised the ability to meet both short and long term financial obligations.</w:t>
      </w:r>
    </w:p>
    <w:p w:rsidR="000E0D32" w:rsidRPr="000E0D32" w:rsidRDefault="000E0D32" w:rsidP="000E0D32">
      <w:pPr>
        <w:pStyle w:val="ListParagraph"/>
        <w:numPr>
          <w:ilvl w:val="0"/>
          <w:numId w:val="6"/>
        </w:numPr>
        <w:spacing w:after="0" w:line="480" w:lineRule="auto"/>
        <w:rPr>
          <w:rFonts w:ascii="Times New Roman" w:eastAsia="Times New Roman" w:hAnsi="Times New Roman" w:cs="Times New Roman"/>
          <w:sz w:val="24"/>
          <w:szCs w:val="24"/>
        </w:rPr>
      </w:pPr>
      <w:r w:rsidRPr="000E0D32">
        <w:rPr>
          <w:rFonts w:ascii="Times New Roman" w:eastAsia="Times New Roman" w:hAnsi="Times New Roman" w:cs="Times New Roman"/>
          <w:sz w:val="24"/>
          <w:szCs w:val="24"/>
        </w:rPr>
        <w:t>Reduction of debt levels</w:t>
      </w:r>
    </w:p>
    <w:p w:rsidR="0015557E" w:rsidRPr="0015557E" w:rsidRDefault="0015557E" w:rsidP="0015557E">
      <w:pPr>
        <w:pStyle w:val="Default"/>
        <w:spacing w:line="480" w:lineRule="auto"/>
        <w:rPr>
          <w:color w:val="auto"/>
        </w:rPr>
      </w:pPr>
      <w:bookmarkStart w:id="0" w:name="_GoBack"/>
      <w:bookmarkEnd w:id="0"/>
    </w:p>
    <w:sectPr w:rsidR="0015557E" w:rsidRPr="001555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5B63" w:rsidRDefault="00B55B63" w:rsidP="000E640F">
      <w:pPr>
        <w:spacing w:after="0" w:line="240" w:lineRule="auto"/>
      </w:pPr>
      <w:r>
        <w:separator/>
      </w:r>
    </w:p>
  </w:endnote>
  <w:endnote w:type="continuationSeparator" w:id="0">
    <w:p w:rsidR="00B55B63" w:rsidRDefault="00B55B63" w:rsidP="000E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5B63" w:rsidRDefault="00B55B63" w:rsidP="000E640F">
      <w:pPr>
        <w:spacing w:after="0" w:line="240" w:lineRule="auto"/>
      </w:pPr>
      <w:r>
        <w:separator/>
      </w:r>
    </w:p>
  </w:footnote>
  <w:footnote w:type="continuationSeparator" w:id="0">
    <w:p w:rsidR="00B55B63" w:rsidRDefault="00B55B63" w:rsidP="000E64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468788"/>
      <w:docPartObj>
        <w:docPartGallery w:val="Page Numbers (Top of Page)"/>
        <w:docPartUnique/>
      </w:docPartObj>
    </w:sdtPr>
    <w:sdtEndPr>
      <w:rPr>
        <w:noProof/>
      </w:rPr>
    </w:sdtEndPr>
    <w:sdtContent>
      <w:p w:rsidR="000E640F" w:rsidRPr="001271D5" w:rsidRDefault="000E640F">
        <w:pPr>
          <w:pStyle w:val="Header"/>
          <w:jc w:val="right"/>
          <w:rPr>
            <w:rFonts w:ascii="Times New Roman" w:hAnsi="Times New Roman" w:cs="Times New Roman"/>
            <w:sz w:val="24"/>
            <w:szCs w:val="24"/>
          </w:rPr>
        </w:pPr>
        <w:r w:rsidRPr="001271D5">
          <w:rPr>
            <w:rFonts w:ascii="Times New Roman" w:hAnsi="Times New Roman" w:cs="Times New Roman"/>
            <w:sz w:val="24"/>
            <w:szCs w:val="24"/>
          </w:rPr>
          <w:fldChar w:fldCharType="begin"/>
        </w:r>
        <w:r w:rsidRPr="001271D5">
          <w:rPr>
            <w:rFonts w:ascii="Times New Roman" w:hAnsi="Times New Roman" w:cs="Times New Roman"/>
            <w:sz w:val="24"/>
            <w:szCs w:val="24"/>
          </w:rPr>
          <w:instrText xml:space="preserve"> PAGE   \* MERGEFORMAT </w:instrText>
        </w:r>
        <w:r w:rsidRPr="001271D5">
          <w:rPr>
            <w:rFonts w:ascii="Times New Roman" w:hAnsi="Times New Roman" w:cs="Times New Roman"/>
            <w:sz w:val="24"/>
            <w:szCs w:val="24"/>
          </w:rPr>
          <w:fldChar w:fldCharType="separate"/>
        </w:r>
        <w:r w:rsidR="00F219A9">
          <w:rPr>
            <w:rFonts w:ascii="Times New Roman" w:hAnsi="Times New Roman" w:cs="Times New Roman"/>
            <w:noProof/>
            <w:sz w:val="24"/>
            <w:szCs w:val="24"/>
          </w:rPr>
          <w:t>5</w:t>
        </w:r>
        <w:r w:rsidRPr="001271D5">
          <w:rPr>
            <w:rFonts w:ascii="Times New Roman" w:hAnsi="Times New Roman" w:cs="Times New Roman"/>
            <w:noProof/>
            <w:sz w:val="24"/>
            <w:szCs w:val="24"/>
          </w:rPr>
          <w:fldChar w:fldCharType="end"/>
        </w:r>
      </w:p>
    </w:sdtContent>
  </w:sdt>
  <w:p w:rsidR="000E640F" w:rsidRPr="001271D5" w:rsidRDefault="000E640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1C140D"/>
    <w:multiLevelType w:val="multilevel"/>
    <w:tmpl w:val="DC98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5A59FA"/>
    <w:multiLevelType w:val="hybridMultilevel"/>
    <w:tmpl w:val="4D24EA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9675C17"/>
    <w:multiLevelType w:val="multilevel"/>
    <w:tmpl w:val="5736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BE85688"/>
    <w:multiLevelType w:val="hybridMultilevel"/>
    <w:tmpl w:val="F17CB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8548E8"/>
    <w:multiLevelType w:val="hybridMultilevel"/>
    <w:tmpl w:val="785E3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51C3AAF"/>
    <w:multiLevelType w:val="hybridMultilevel"/>
    <w:tmpl w:val="213E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A2D"/>
    <w:rsid w:val="000E0D32"/>
    <w:rsid w:val="000E640F"/>
    <w:rsid w:val="001271D5"/>
    <w:rsid w:val="0015557E"/>
    <w:rsid w:val="00262845"/>
    <w:rsid w:val="004E13FD"/>
    <w:rsid w:val="00876F14"/>
    <w:rsid w:val="008900F2"/>
    <w:rsid w:val="008909B5"/>
    <w:rsid w:val="00B55B63"/>
    <w:rsid w:val="00BE5B7F"/>
    <w:rsid w:val="00C14A2D"/>
    <w:rsid w:val="00D3674C"/>
    <w:rsid w:val="00DF56DA"/>
    <w:rsid w:val="00F127BE"/>
    <w:rsid w:val="00F21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FF47D2-0B36-4BAA-94E7-8CF2C776C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A2D"/>
    <w:pPr>
      <w:ind w:left="720"/>
      <w:contextualSpacing/>
    </w:pPr>
  </w:style>
  <w:style w:type="paragraph" w:customStyle="1" w:styleId="Default">
    <w:name w:val="Default"/>
    <w:rsid w:val="008900F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0E6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640F"/>
  </w:style>
  <w:style w:type="paragraph" w:styleId="Footer">
    <w:name w:val="footer"/>
    <w:basedOn w:val="Normal"/>
    <w:link w:val="FooterChar"/>
    <w:uiPriority w:val="99"/>
    <w:unhideWhenUsed/>
    <w:rsid w:val="000E6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640F"/>
  </w:style>
  <w:style w:type="paragraph" w:styleId="NormalWeb">
    <w:name w:val="Normal (Web)"/>
    <w:basedOn w:val="Normal"/>
    <w:uiPriority w:val="99"/>
    <w:semiHidden/>
    <w:unhideWhenUsed/>
    <w:rsid w:val="000E0D3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E0D32"/>
    <w:rPr>
      <w:i/>
      <w:iCs/>
    </w:rPr>
  </w:style>
  <w:style w:type="character" w:styleId="Strong">
    <w:name w:val="Strong"/>
    <w:basedOn w:val="DefaultParagraphFont"/>
    <w:uiPriority w:val="22"/>
    <w:qFormat/>
    <w:rsid w:val="000E0D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882610">
      <w:bodyDiv w:val="1"/>
      <w:marLeft w:val="0"/>
      <w:marRight w:val="0"/>
      <w:marTop w:val="0"/>
      <w:marBottom w:val="0"/>
      <w:divBdr>
        <w:top w:val="none" w:sz="0" w:space="0" w:color="auto"/>
        <w:left w:val="none" w:sz="0" w:space="0" w:color="auto"/>
        <w:bottom w:val="none" w:sz="0" w:space="0" w:color="auto"/>
        <w:right w:val="none" w:sz="0" w:space="0" w:color="auto"/>
      </w:divBdr>
    </w:div>
    <w:div w:id="1126771575">
      <w:bodyDiv w:val="1"/>
      <w:marLeft w:val="0"/>
      <w:marRight w:val="0"/>
      <w:marTop w:val="0"/>
      <w:marBottom w:val="0"/>
      <w:divBdr>
        <w:top w:val="none" w:sz="0" w:space="0" w:color="auto"/>
        <w:left w:val="none" w:sz="0" w:space="0" w:color="auto"/>
        <w:bottom w:val="none" w:sz="0" w:space="0" w:color="auto"/>
        <w:right w:val="none" w:sz="0" w:space="0" w:color="auto"/>
      </w:divBdr>
    </w:div>
    <w:div w:id="119395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76D8E-802A-452A-B4CB-DC5464642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 CYBER</dc:creator>
  <cp:lastModifiedBy>HP</cp:lastModifiedBy>
  <cp:revision>2</cp:revision>
  <dcterms:created xsi:type="dcterms:W3CDTF">2020-07-11T15:06:00Z</dcterms:created>
  <dcterms:modified xsi:type="dcterms:W3CDTF">2020-07-11T15:06:00Z</dcterms:modified>
</cp:coreProperties>
</file>